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Date de prestation : 10/06/2026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12/07/2026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1]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2]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500,00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2 000,00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20%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400,00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Total TTC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2 400,00 EUR</w:t>
            </w:r>
          </w:p>
        </w:tc>
      </w:tr>
    </w:tbl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En cas de retard de paiement, application de penalites au taux de 3 fois le taux d'interet legal en vigueur (art. L.441-10 du Code de commerce) et indemnite forfaitaire pour frais de recouvrement de 40 EUR (clients professionnels) par facture impayee (art. D.441-5 du Code de commerce). Si les frais reels de recouvrement excedent 40 EUR, le crediteur peut reclamer le complement sur justificatifs.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avec TVA</dc:title>
  <dc:subject>Modele de facture assujettie a la TVA</dc:subject>
  <dc:creator>Billies</dc:creator>
  <cp:lastModifiedBy>Un-named</cp:lastModifiedBy>
  <cp:revision>1</cp:revision>
  <dcterms:created xsi:type="dcterms:W3CDTF">2026-11-03T02:44:03.257Z</dcterms:created>
  <dcterms:modified xsi:type="dcterms:W3CDTF">2026-11-03T02:44:03.257Z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